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36BB1" w14:textId="77777777" w:rsidR="00E244AF" w:rsidRDefault="00E244AF">
      <w:pPr>
        <w:rPr>
          <w:rFonts w:ascii="Arial" w:hAnsi="Arial" w:cs="Arial"/>
          <w:b/>
          <w:bCs/>
          <w:caps/>
          <w:sz w:val="20"/>
          <w:szCs w:val="20"/>
        </w:rPr>
      </w:pPr>
    </w:p>
    <w:p w14:paraId="00670E97" w14:textId="77777777" w:rsidR="00E244AF" w:rsidRDefault="00E244AF">
      <w:pPr>
        <w:jc w:val="center"/>
        <w:rPr>
          <w:rFonts w:ascii="Arial" w:hAnsi="Arial" w:cs="Arial"/>
          <w:b/>
          <w:bCs/>
          <w:caps/>
          <w:sz w:val="20"/>
          <w:szCs w:val="20"/>
        </w:rPr>
      </w:pPr>
    </w:p>
    <w:p w14:paraId="0CA76D8E" w14:textId="77777777" w:rsidR="00E244AF" w:rsidRDefault="00654E96">
      <w:pPr>
        <w:jc w:val="center"/>
        <w:rPr>
          <w:b/>
          <w:bCs/>
          <w:caps/>
          <w:sz w:val="20"/>
          <w:szCs w:val="20"/>
          <w:vertAlign w:val="superscript"/>
        </w:rPr>
      </w:pPr>
      <w:r>
        <w:rPr>
          <w:b/>
          <w:bCs/>
          <w:caps/>
          <w:sz w:val="20"/>
          <w:szCs w:val="20"/>
        </w:rPr>
        <w:t>ЧИСЛЕННОСТЬ НАСЕЛЕНИЯ ЧЕЛЯБИНСКОЙ ОБЛАСТИ С ДЕНЕЖНЫМИ ДОХОДАМИ НИЖЕ ГРАНИЦЫ БЕДНОСТИ И ДЕФИЦИТ ДЕНЕЖНОГО ДОХОДА</w:t>
      </w:r>
      <w:r>
        <w:rPr>
          <w:b/>
          <w:bCs/>
          <w:caps/>
          <w:sz w:val="20"/>
          <w:szCs w:val="20"/>
          <w:vertAlign w:val="superscript"/>
        </w:rPr>
        <w:t>1)</w:t>
      </w:r>
    </w:p>
    <w:p w14:paraId="0E22AAFF" w14:textId="77777777" w:rsidR="00E244AF" w:rsidRDefault="00E244AF">
      <w:pPr>
        <w:jc w:val="center"/>
        <w:rPr>
          <w:rFonts w:ascii="Arial" w:hAnsi="Arial" w:cs="Arial"/>
          <w:b/>
          <w:bCs/>
          <w:caps/>
          <w:sz w:val="20"/>
          <w:szCs w:val="20"/>
        </w:rPr>
      </w:pPr>
    </w:p>
    <w:tbl>
      <w:tblPr>
        <w:tblW w:w="504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5"/>
        <w:gridCol w:w="1607"/>
        <w:gridCol w:w="1577"/>
        <w:gridCol w:w="1523"/>
        <w:gridCol w:w="1549"/>
        <w:gridCol w:w="1651"/>
      </w:tblGrid>
      <w:tr w:rsidR="00E244AF" w14:paraId="464A8232" w14:textId="77777777">
        <w:trPr>
          <w:trHeight w:val="20"/>
        </w:trPr>
        <w:tc>
          <w:tcPr>
            <w:tcW w:w="804" w:type="pct"/>
            <w:vMerge w:val="restart"/>
            <w:shd w:val="clear" w:color="auto" w:fill="FFFFFF"/>
            <w:vAlign w:val="center"/>
          </w:tcPr>
          <w:p w14:paraId="6306A249" w14:textId="77777777" w:rsidR="00E244AF" w:rsidRDefault="00E244AF">
            <w:pPr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1690" w:type="pct"/>
            <w:gridSpan w:val="2"/>
            <w:shd w:val="clear" w:color="auto" w:fill="FFFFFF"/>
            <w:vAlign w:val="center"/>
          </w:tcPr>
          <w:p w14:paraId="108CBB2D" w14:textId="77777777" w:rsidR="00E244AF" w:rsidRDefault="00654E96">
            <w:pPr>
              <w:jc w:val="center"/>
            </w:pPr>
            <w:r>
              <w:t>Численность населения с денежными доходами ниже границы бедности</w:t>
            </w:r>
            <w:r>
              <w:rPr>
                <w:vertAlign w:val="superscript"/>
              </w:rPr>
              <w:t>2)3)</w:t>
            </w:r>
          </w:p>
        </w:tc>
        <w:tc>
          <w:tcPr>
            <w:tcW w:w="1630" w:type="pct"/>
            <w:gridSpan w:val="2"/>
            <w:shd w:val="clear" w:color="auto" w:fill="FFFFFF"/>
          </w:tcPr>
          <w:p w14:paraId="01F577AE" w14:textId="77777777" w:rsidR="00E244AF" w:rsidRDefault="00654E96">
            <w:pPr>
              <w:jc w:val="center"/>
            </w:pPr>
            <w:r>
              <w:t>Дефицит денежного дохода</w:t>
            </w:r>
            <w:r>
              <w:rPr>
                <w:vertAlign w:val="superscript"/>
              </w:rPr>
              <w:t>2)</w:t>
            </w:r>
          </w:p>
        </w:tc>
        <w:tc>
          <w:tcPr>
            <w:tcW w:w="876" w:type="pct"/>
            <w:vMerge w:val="restart"/>
            <w:shd w:val="clear" w:color="auto" w:fill="FFFFFF"/>
          </w:tcPr>
          <w:p w14:paraId="40FD08E1" w14:textId="77777777" w:rsidR="00E244AF" w:rsidRDefault="00654E96">
            <w:pPr>
              <w:jc w:val="center"/>
            </w:pPr>
            <w:r>
              <w:t>Граница бедности</w:t>
            </w:r>
            <w:r>
              <w:rPr>
                <w:vertAlign w:val="superscript"/>
              </w:rPr>
              <w:t>4)</w:t>
            </w:r>
            <w:r>
              <w:t xml:space="preserve"> руб. в месяц</w:t>
            </w:r>
          </w:p>
        </w:tc>
      </w:tr>
      <w:tr w:rsidR="00E244AF" w14:paraId="697DF01F" w14:textId="77777777">
        <w:trPr>
          <w:trHeight w:val="1789"/>
        </w:trPr>
        <w:tc>
          <w:tcPr>
            <w:tcW w:w="804" w:type="pct"/>
            <w:vMerge/>
            <w:tcBorders>
              <w:bottom w:val="single" w:sz="4" w:space="0" w:color="000000"/>
            </w:tcBorders>
            <w:shd w:val="clear" w:color="auto" w:fill="CCFFFF"/>
            <w:vAlign w:val="center"/>
          </w:tcPr>
          <w:p w14:paraId="33719C92" w14:textId="77777777" w:rsidR="00E244AF" w:rsidRDefault="00E244A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3" w:type="pct"/>
            <w:tcBorders>
              <w:bottom w:val="single" w:sz="4" w:space="0" w:color="000000"/>
            </w:tcBorders>
            <w:shd w:val="clear" w:color="auto" w:fill="FFFFFF"/>
          </w:tcPr>
          <w:p w14:paraId="28904FCD" w14:textId="77777777" w:rsidR="00E244AF" w:rsidRDefault="00654E96">
            <w:pPr>
              <w:jc w:val="center"/>
            </w:pPr>
            <w:r>
              <w:t>тыс. человек</w:t>
            </w:r>
          </w:p>
        </w:tc>
        <w:tc>
          <w:tcPr>
            <w:tcW w:w="837" w:type="pct"/>
            <w:tcBorders>
              <w:bottom w:val="single" w:sz="4" w:space="0" w:color="000000"/>
            </w:tcBorders>
            <w:shd w:val="clear" w:color="auto" w:fill="FFFFFF"/>
          </w:tcPr>
          <w:p w14:paraId="43523F3E" w14:textId="77777777" w:rsidR="00E244AF" w:rsidRDefault="00654E96">
            <w:pPr>
              <w:jc w:val="center"/>
            </w:pPr>
            <w:r>
              <w:t>в процентах от общей численности населения</w:t>
            </w:r>
          </w:p>
        </w:tc>
        <w:tc>
          <w:tcPr>
            <w:tcW w:w="808" w:type="pct"/>
            <w:tcBorders>
              <w:bottom w:val="single" w:sz="4" w:space="0" w:color="000000"/>
            </w:tcBorders>
            <w:shd w:val="clear" w:color="auto" w:fill="FFFFFF"/>
          </w:tcPr>
          <w:p w14:paraId="45510A36" w14:textId="77777777" w:rsidR="00E244AF" w:rsidRDefault="00654E96">
            <w:pPr>
              <w:jc w:val="center"/>
            </w:pPr>
            <w:r>
              <w:t xml:space="preserve">млн руб. в месяц </w:t>
            </w:r>
          </w:p>
        </w:tc>
        <w:tc>
          <w:tcPr>
            <w:tcW w:w="822" w:type="pct"/>
            <w:tcBorders>
              <w:bottom w:val="single" w:sz="4" w:space="0" w:color="000000"/>
            </w:tcBorders>
            <w:shd w:val="clear" w:color="auto" w:fill="FFFFFF"/>
          </w:tcPr>
          <w:p w14:paraId="5101878B" w14:textId="77777777" w:rsidR="00E244AF" w:rsidRDefault="00654E96">
            <w:pPr>
              <w:jc w:val="center"/>
            </w:pPr>
            <w:r>
              <w:t>в процентах от общего объема денежных доходов населения</w:t>
            </w:r>
          </w:p>
        </w:tc>
        <w:tc>
          <w:tcPr>
            <w:tcW w:w="876" w:type="pct"/>
            <w:vMerge/>
            <w:tcBorders>
              <w:bottom w:val="single" w:sz="4" w:space="0" w:color="000000"/>
            </w:tcBorders>
            <w:shd w:val="clear" w:color="auto" w:fill="CCFFFF"/>
            <w:vAlign w:val="center"/>
          </w:tcPr>
          <w:p w14:paraId="42B9B5BD" w14:textId="77777777" w:rsidR="00E244AF" w:rsidRDefault="00E244AF"/>
        </w:tc>
      </w:tr>
      <w:tr w:rsidR="00E244AF" w14:paraId="3D40A0FF" w14:textId="77777777">
        <w:trPr>
          <w:trHeight w:val="20"/>
        </w:trPr>
        <w:tc>
          <w:tcPr>
            <w:tcW w:w="804" w:type="pct"/>
            <w:vAlign w:val="center"/>
          </w:tcPr>
          <w:p w14:paraId="1F71B4A6" w14:textId="77777777" w:rsidR="00E244AF" w:rsidRDefault="00654E96">
            <w:pPr>
              <w:jc w:val="center"/>
              <w:rPr>
                <w:iCs/>
                <w:vertAlign w:val="superscript"/>
              </w:rPr>
            </w:pPr>
            <w:r>
              <w:rPr>
                <w:iCs/>
              </w:rPr>
              <w:t>2021</w:t>
            </w:r>
          </w:p>
        </w:tc>
        <w:tc>
          <w:tcPr>
            <w:tcW w:w="853" w:type="pct"/>
            <w:vAlign w:val="center"/>
          </w:tcPr>
          <w:p w14:paraId="682C008B" w14:textId="77777777" w:rsidR="00E244AF" w:rsidRDefault="00654E96">
            <w:pPr>
              <w:ind w:right="284"/>
              <w:jc w:val="center"/>
              <w:rPr>
                <w:vertAlign w:val="superscript"/>
              </w:rPr>
            </w:pPr>
            <w:r>
              <w:t xml:space="preserve">     413,5</w:t>
            </w:r>
          </w:p>
        </w:tc>
        <w:tc>
          <w:tcPr>
            <w:tcW w:w="837" w:type="pct"/>
            <w:vAlign w:val="center"/>
          </w:tcPr>
          <w:p w14:paraId="7B1DD632" w14:textId="77777777" w:rsidR="00E244AF" w:rsidRDefault="00654E96">
            <w:pPr>
              <w:jc w:val="center"/>
              <w:rPr>
                <w:vertAlign w:val="superscript"/>
              </w:rPr>
            </w:pPr>
            <w:r>
              <w:t xml:space="preserve">           12,0</w:t>
            </w:r>
          </w:p>
        </w:tc>
        <w:tc>
          <w:tcPr>
            <w:tcW w:w="808" w:type="pct"/>
            <w:vAlign w:val="center"/>
          </w:tcPr>
          <w:p w14:paraId="42AF261D" w14:textId="77777777" w:rsidR="00E244AF" w:rsidRDefault="00654E96">
            <w:pPr>
              <w:jc w:val="center"/>
              <w:rPr>
                <w:iCs/>
                <w:vertAlign w:val="superscript"/>
              </w:rPr>
            </w:pPr>
            <w:r>
              <w:rPr>
                <w:iCs/>
              </w:rPr>
              <w:t xml:space="preserve">       1314,5</w:t>
            </w:r>
          </w:p>
        </w:tc>
        <w:tc>
          <w:tcPr>
            <w:tcW w:w="822" w:type="pct"/>
            <w:vAlign w:val="center"/>
          </w:tcPr>
          <w:p w14:paraId="5455FA61" w14:textId="77777777" w:rsidR="00E244AF" w:rsidRDefault="00654E96">
            <w:pPr>
              <w:jc w:val="center"/>
              <w:rPr>
                <w:vertAlign w:val="superscript"/>
              </w:rPr>
            </w:pPr>
            <w:r>
              <w:t xml:space="preserve">             1,3</w:t>
            </w:r>
          </w:p>
        </w:tc>
        <w:tc>
          <w:tcPr>
            <w:tcW w:w="876" w:type="pct"/>
            <w:vAlign w:val="bottom"/>
          </w:tcPr>
          <w:p w14:paraId="01733EE6" w14:textId="77777777" w:rsidR="00E244AF" w:rsidRDefault="00654E96">
            <w:pPr>
              <w:jc w:val="right"/>
            </w:pPr>
            <w:r>
              <w:t>11707</w:t>
            </w:r>
          </w:p>
        </w:tc>
      </w:tr>
      <w:tr w:rsidR="00E244AF" w14:paraId="28E67A13" w14:textId="77777777">
        <w:trPr>
          <w:trHeight w:val="20"/>
        </w:trPr>
        <w:tc>
          <w:tcPr>
            <w:tcW w:w="804" w:type="pct"/>
            <w:vAlign w:val="center"/>
          </w:tcPr>
          <w:p w14:paraId="736D2D41" w14:textId="77777777" w:rsidR="00E244AF" w:rsidRDefault="00654E96">
            <w:pPr>
              <w:jc w:val="center"/>
              <w:rPr>
                <w:iCs/>
                <w:vertAlign w:val="superscript"/>
              </w:rPr>
            </w:pPr>
            <w:r>
              <w:rPr>
                <w:iCs/>
              </w:rPr>
              <w:t>2022</w:t>
            </w:r>
          </w:p>
        </w:tc>
        <w:tc>
          <w:tcPr>
            <w:tcW w:w="853" w:type="pct"/>
            <w:vAlign w:val="center"/>
          </w:tcPr>
          <w:p w14:paraId="3E6DFB05" w14:textId="77777777" w:rsidR="00E244AF" w:rsidRDefault="00654E96">
            <w:pPr>
              <w:ind w:right="284"/>
              <w:jc w:val="center"/>
              <w:rPr>
                <w:vertAlign w:val="superscript"/>
              </w:rPr>
            </w:pPr>
            <w:r>
              <w:t xml:space="preserve">     362,0</w:t>
            </w:r>
          </w:p>
        </w:tc>
        <w:tc>
          <w:tcPr>
            <w:tcW w:w="837" w:type="pct"/>
            <w:vAlign w:val="center"/>
          </w:tcPr>
          <w:p w14:paraId="1C43B194" w14:textId="77777777" w:rsidR="00E244AF" w:rsidRDefault="00654E96">
            <w:pPr>
              <w:jc w:val="center"/>
              <w:rPr>
                <w:vertAlign w:val="superscript"/>
              </w:rPr>
            </w:pPr>
            <w:r>
              <w:t xml:space="preserve">           10,6</w:t>
            </w:r>
          </w:p>
        </w:tc>
        <w:tc>
          <w:tcPr>
            <w:tcW w:w="808" w:type="pct"/>
            <w:vAlign w:val="center"/>
          </w:tcPr>
          <w:p w14:paraId="6C004E88" w14:textId="77777777" w:rsidR="00E244AF" w:rsidRDefault="00654E96">
            <w:pPr>
              <w:jc w:val="center"/>
              <w:rPr>
                <w:iCs/>
                <w:vertAlign w:val="superscript"/>
              </w:rPr>
            </w:pPr>
            <w:r>
              <w:rPr>
                <w:iCs/>
              </w:rPr>
              <w:t xml:space="preserve">       1301,1</w:t>
            </w:r>
          </w:p>
        </w:tc>
        <w:tc>
          <w:tcPr>
            <w:tcW w:w="822" w:type="pct"/>
            <w:vAlign w:val="center"/>
          </w:tcPr>
          <w:p w14:paraId="62D1BA74" w14:textId="77777777" w:rsidR="00E244AF" w:rsidRDefault="00654E96">
            <w:pPr>
              <w:jc w:val="center"/>
              <w:rPr>
                <w:vertAlign w:val="superscript"/>
              </w:rPr>
            </w:pPr>
            <w:r>
              <w:t xml:space="preserve">             1,1</w:t>
            </w:r>
          </w:p>
        </w:tc>
        <w:tc>
          <w:tcPr>
            <w:tcW w:w="876" w:type="pct"/>
            <w:vAlign w:val="bottom"/>
          </w:tcPr>
          <w:p w14:paraId="22EAE882" w14:textId="77777777" w:rsidR="00E244AF" w:rsidRDefault="00654E96">
            <w:pPr>
              <w:jc w:val="right"/>
            </w:pPr>
            <w:r>
              <w:t>13041</w:t>
            </w:r>
          </w:p>
        </w:tc>
      </w:tr>
      <w:tr w:rsidR="00E244AF" w14:paraId="333DBB95" w14:textId="77777777">
        <w:trPr>
          <w:trHeight w:val="20"/>
        </w:trPr>
        <w:tc>
          <w:tcPr>
            <w:tcW w:w="804" w:type="pct"/>
            <w:tcBorders>
              <w:bottom w:val="single" w:sz="4" w:space="0" w:color="000000"/>
            </w:tcBorders>
            <w:vAlign w:val="center"/>
          </w:tcPr>
          <w:p w14:paraId="2CE6033F" w14:textId="77777777" w:rsidR="00E244AF" w:rsidRDefault="00654E96">
            <w:pPr>
              <w:jc w:val="center"/>
              <w:rPr>
                <w:iCs/>
                <w:vertAlign w:val="superscript"/>
              </w:rPr>
            </w:pPr>
            <w:r>
              <w:rPr>
                <w:iCs/>
              </w:rPr>
              <w:t xml:space="preserve">  2023</w:t>
            </w:r>
            <w:r>
              <w:rPr>
                <w:iCs/>
                <w:vertAlign w:val="superscript"/>
              </w:rPr>
              <w:t>5)</w:t>
            </w:r>
          </w:p>
        </w:tc>
        <w:tc>
          <w:tcPr>
            <w:tcW w:w="853" w:type="pct"/>
            <w:tcBorders>
              <w:bottom w:val="single" w:sz="4" w:space="0" w:color="000000"/>
            </w:tcBorders>
            <w:vAlign w:val="center"/>
          </w:tcPr>
          <w:p w14:paraId="0F174149" w14:textId="77777777" w:rsidR="00E244AF" w:rsidRDefault="00654E96">
            <w:pPr>
              <w:ind w:right="284"/>
              <w:jc w:val="center"/>
            </w:pPr>
            <w:r>
              <w:t xml:space="preserve">     339,7</w:t>
            </w:r>
          </w:p>
        </w:tc>
        <w:tc>
          <w:tcPr>
            <w:tcW w:w="837" w:type="pct"/>
            <w:tcBorders>
              <w:bottom w:val="single" w:sz="4" w:space="0" w:color="000000"/>
            </w:tcBorders>
            <w:vAlign w:val="center"/>
          </w:tcPr>
          <w:p w14:paraId="0A30463E" w14:textId="77777777" w:rsidR="00E244AF" w:rsidRDefault="00654E96">
            <w:pPr>
              <w:jc w:val="center"/>
            </w:pPr>
            <w:r>
              <w:t xml:space="preserve">           10,0</w:t>
            </w:r>
          </w:p>
        </w:tc>
        <w:tc>
          <w:tcPr>
            <w:tcW w:w="808" w:type="pct"/>
            <w:tcBorders>
              <w:bottom w:val="single" w:sz="4" w:space="0" w:color="000000"/>
            </w:tcBorders>
            <w:vAlign w:val="center"/>
          </w:tcPr>
          <w:p w14:paraId="79037F41" w14:textId="5116E10A" w:rsidR="00E244AF" w:rsidRDefault="00654E96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      1315,</w:t>
            </w:r>
            <w:r w:rsidR="0055268A">
              <w:rPr>
                <w:iCs/>
              </w:rPr>
              <w:t>4</w:t>
            </w:r>
          </w:p>
        </w:tc>
        <w:tc>
          <w:tcPr>
            <w:tcW w:w="822" w:type="pct"/>
            <w:tcBorders>
              <w:bottom w:val="single" w:sz="4" w:space="0" w:color="000000"/>
            </w:tcBorders>
            <w:vAlign w:val="center"/>
          </w:tcPr>
          <w:p w14:paraId="1635CC70" w14:textId="77777777" w:rsidR="00E244AF" w:rsidRDefault="00654E96">
            <w:pPr>
              <w:jc w:val="center"/>
            </w:pPr>
            <w:r>
              <w:t xml:space="preserve">             1,0</w:t>
            </w:r>
          </w:p>
        </w:tc>
        <w:tc>
          <w:tcPr>
            <w:tcW w:w="876" w:type="pct"/>
            <w:tcBorders>
              <w:bottom w:val="single" w:sz="4" w:space="0" w:color="000000"/>
            </w:tcBorders>
            <w:vAlign w:val="bottom"/>
          </w:tcPr>
          <w:p w14:paraId="28F0A6DA" w14:textId="3D9B11BC" w:rsidR="00E244AF" w:rsidRDefault="00654E96">
            <w:pPr>
              <w:jc w:val="right"/>
            </w:pPr>
            <w:r>
              <w:t>137</w:t>
            </w:r>
            <w:r w:rsidR="004565F7">
              <w:t>7</w:t>
            </w:r>
            <w:r>
              <w:t>8</w:t>
            </w:r>
          </w:p>
        </w:tc>
      </w:tr>
    </w:tbl>
    <w:p w14:paraId="62521A6B" w14:textId="77777777" w:rsidR="00E244AF" w:rsidRDefault="00654E96">
      <w:pPr>
        <w:keepNext/>
        <w:keepLines/>
        <w:jc w:val="both"/>
        <w:rPr>
          <w:sz w:val="19"/>
          <w:szCs w:val="19"/>
        </w:rPr>
      </w:pPr>
      <w:r>
        <w:rPr>
          <w:sz w:val="19"/>
          <w:szCs w:val="19"/>
          <w:vertAlign w:val="superscript"/>
        </w:rPr>
        <w:t xml:space="preserve">1)   </w:t>
      </w:r>
      <w:r>
        <w:rPr>
          <w:sz w:val="19"/>
          <w:szCs w:val="19"/>
        </w:rPr>
        <w:t>Данные за 2021 и 2022 годы приведены с учетом итогов Всероссийской переписи населения 2020 года.</w:t>
      </w:r>
    </w:p>
    <w:p w14:paraId="02CC6C2B" w14:textId="77777777" w:rsidR="00E244AF" w:rsidRDefault="00654E96">
      <w:pPr>
        <w:keepNext/>
        <w:keepLines/>
        <w:jc w:val="both"/>
        <w:rPr>
          <w:sz w:val="19"/>
          <w:szCs w:val="19"/>
        </w:rPr>
      </w:pPr>
      <w:r>
        <w:rPr>
          <w:sz w:val="19"/>
          <w:szCs w:val="19"/>
          <w:vertAlign w:val="superscript"/>
        </w:rPr>
        <w:t xml:space="preserve">2)    </w:t>
      </w:r>
      <w:r>
        <w:rPr>
          <w:sz w:val="19"/>
          <w:szCs w:val="19"/>
        </w:rPr>
        <w:t>Оценка на основе материалов выборочного обследования домашних хозяйств и макроэкономического показателя среднедушевых денежных доходов населения. Показатели рассчитаны с использованием величины макроэкономического показателя среднедушевых денежных доходов населения, определенной в соответствии с Методологическими положениями по расчету показателей денежных доходов и расходов населения (приказ Росстата от 2 июля 2014 г. № 465 с изменениями от 20 ноября 2018 г.).</w:t>
      </w:r>
    </w:p>
    <w:p w14:paraId="775E534F" w14:textId="77777777" w:rsidR="00E244AF" w:rsidRDefault="00654E96">
      <w:pPr>
        <w:jc w:val="both"/>
        <w:rPr>
          <w:sz w:val="19"/>
          <w:szCs w:val="19"/>
        </w:rPr>
      </w:pPr>
      <w:r>
        <w:rPr>
          <w:sz w:val="19"/>
          <w:szCs w:val="19"/>
          <w:vertAlign w:val="superscript"/>
        </w:rPr>
        <w:t xml:space="preserve">3)   </w:t>
      </w:r>
      <w:r>
        <w:rPr>
          <w:sz w:val="19"/>
          <w:szCs w:val="19"/>
        </w:rPr>
        <w:t>В соответствии с постановлением Правительства Российской Федерации от 26 ноября 2021 г. № 2049, начиная с 1 января 2021 года, формируется показатель «Численность населения с денежными доходами ниже границы бедности».</w:t>
      </w:r>
    </w:p>
    <w:p w14:paraId="78AEE58D" w14:textId="77777777" w:rsidR="00E244AF" w:rsidRDefault="00654E96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  <w:vertAlign w:val="superscript"/>
        </w:rPr>
        <w:t>4)</w:t>
      </w:r>
      <w:r>
        <w:rPr>
          <w:sz w:val="19"/>
          <w:szCs w:val="19"/>
        </w:rPr>
        <w:t xml:space="preserve">  Граница бедности в соответствии с постановлением Правительства Российской Федерации от 26 ноября 2021 г. № 2049 определяется путем умножения значения базовой границы бедности на индекс потребительских цен за отчетный год к IV кварталу 2020 г., определяемый цепным методом. </w:t>
      </w:r>
    </w:p>
    <w:p w14:paraId="68A939B2" w14:textId="4A99B074" w:rsidR="00E244AF" w:rsidRDefault="00654E96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  <w:vertAlign w:val="superscript"/>
        </w:rPr>
        <w:t xml:space="preserve">5)   </w:t>
      </w:r>
      <w:r w:rsidR="004565F7">
        <w:rPr>
          <w:sz w:val="19"/>
          <w:szCs w:val="19"/>
        </w:rPr>
        <w:t>Уточненные данные.</w:t>
      </w:r>
    </w:p>
    <w:p w14:paraId="3F175C06" w14:textId="77777777" w:rsidR="00E244AF" w:rsidRDefault="00E244AF">
      <w:pPr>
        <w:pStyle w:val="Default"/>
        <w:jc w:val="both"/>
      </w:pPr>
    </w:p>
    <w:p w14:paraId="7E321D67" w14:textId="77777777" w:rsidR="00E244AF" w:rsidRDefault="00E244AF">
      <w:pPr>
        <w:spacing w:line="228" w:lineRule="auto"/>
        <w:jc w:val="both"/>
        <w:rPr>
          <w:sz w:val="18"/>
          <w:szCs w:val="18"/>
        </w:rPr>
      </w:pPr>
    </w:p>
    <w:p w14:paraId="639F06B4" w14:textId="77777777" w:rsidR="00E244AF" w:rsidRDefault="00E244AF">
      <w:pPr>
        <w:spacing w:line="228" w:lineRule="auto"/>
        <w:jc w:val="both"/>
        <w:rPr>
          <w:sz w:val="18"/>
          <w:szCs w:val="18"/>
        </w:rPr>
      </w:pPr>
    </w:p>
    <w:p w14:paraId="66D12531" w14:textId="77777777" w:rsidR="00E244AF" w:rsidRDefault="00E244AF">
      <w:pPr>
        <w:spacing w:line="228" w:lineRule="auto"/>
        <w:jc w:val="both"/>
        <w:rPr>
          <w:sz w:val="18"/>
          <w:szCs w:val="18"/>
        </w:rPr>
      </w:pPr>
    </w:p>
    <w:sectPr w:rsidR="00E24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B384F" w14:textId="77777777" w:rsidR="00856416" w:rsidRDefault="00856416">
      <w:r>
        <w:separator/>
      </w:r>
    </w:p>
  </w:endnote>
  <w:endnote w:type="continuationSeparator" w:id="0">
    <w:p w14:paraId="79187014" w14:textId="77777777" w:rsidR="00856416" w:rsidRDefault="00856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E5B8B" w14:textId="77777777" w:rsidR="00856416" w:rsidRDefault="00856416">
      <w:r>
        <w:separator/>
      </w:r>
    </w:p>
  </w:footnote>
  <w:footnote w:type="continuationSeparator" w:id="0">
    <w:p w14:paraId="0FFAA47F" w14:textId="77777777" w:rsidR="00856416" w:rsidRDefault="00856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4AF"/>
    <w:rsid w:val="004565F7"/>
    <w:rsid w:val="0055268A"/>
    <w:rsid w:val="0061103F"/>
    <w:rsid w:val="00654E96"/>
    <w:rsid w:val="00856416"/>
    <w:rsid w:val="00C72218"/>
    <w:rsid w:val="00DD1ACD"/>
    <w:rsid w:val="00E244AF"/>
    <w:rsid w:val="00F5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133605"/>
  <w15:docId w15:val="{8B93E0CD-8D81-431F-8B68-457E2C28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ESevastjyanova</dc:creator>
  <cp:lastModifiedBy>Николаева Татьяна Владимировна</cp:lastModifiedBy>
  <cp:revision>6</cp:revision>
  <dcterms:created xsi:type="dcterms:W3CDTF">2024-05-14T08:51:00Z</dcterms:created>
  <dcterms:modified xsi:type="dcterms:W3CDTF">2025-01-09T05:25:00Z</dcterms:modified>
  <cp:version>1048576</cp:version>
</cp:coreProperties>
</file>